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E5E9" w14:textId="77777777" w:rsidR="008E38D8" w:rsidRPr="008E38D8" w:rsidRDefault="008E38D8" w:rsidP="008E38D8">
      <w:pPr>
        <w:widowControl w:val="0"/>
        <w:autoSpaceDE w:val="0"/>
        <w:autoSpaceDN w:val="0"/>
        <w:spacing w:before="90" w:line="249" w:lineRule="auto"/>
        <w:ind w:right="1563"/>
        <w:outlineLvl w:val="0"/>
        <w:rPr>
          <w:rFonts w:ascii="Arial" w:eastAsia="Arial" w:hAnsi="Arial" w:cs="Arial"/>
          <w:b/>
          <w:bCs/>
          <w:color w:val="2D323E"/>
          <w:sz w:val="36"/>
          <w:szCs w:val="36"/>
          <w:lang w:eastAsia="nl-NL" w:bidi="nl-NL"/>
        </w:rPr>
      </w:pPr>
      <w:r w:rsidRPr="008E38D8">
        <w:rPr>
          <w:rFonts w:ascii="Arial" w:eastAsia="Arial" w:hAnsi="Arial" w:cs="Arial"/>
          <w:b/>
          <w:bCs/>
          <w:color w:val="2D323E"/>
          <w:sz w:val="36"/>
          <w:szCs w:val="36"/>
          <w:lang w:eastAsia="nl-NL" w:bidi="nl-NL"/>
        </w:rPr>
        <w:t>Rooster van aftreden</w:t>
      </w:r>
    </w:p>
    <w:p w14:paraId="07EDFCFB" w14:textId="77777777" w:rsidR="008E38D8" w:rsidRPr="008E38D8" w:rsidRDefault="008E38D8" w:rsidP="008E38D8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0"/>
          <w:lang w:eastAsia="nl-NL" w:bidi="nl-NL"/>
        </w:rPr>
      </w:pPr>
    </w:p>
    <w:p w14:paraId="2D338EB5" w14:textId="66323DA5" w:rsidR="00C517C0" w:rsidRPr="00C57AE0" w:rsidRDefault="008E38D8" w:rsidP="00C517C0">
      <w:pPr>
        <w:widowControl w:val="0"/>
        <w:autoSpaceDE w:val="0"/>
        <w:autoSpaceDN w:val="0"/>
        <w:rPr>
          <w:rFonts w:ascii="Arial" w:eastAsia="Arial" w:hAnsi="Arial" w:cs="Arial"/>
          <w:lang w:eastAsia="nl-NL" w:bidi="nl-NL"/>
        </w:rPr>
      </w:pPr>
      <w:r w:rsidRPr="008E38D8">
        <w:rPr>
          <w:rFonts w:ascii="Arial" w:eastAsia="Arial" w:hAnsi="Arial" w:cs="Arial"/>
          <w:lang w:eastAsia="nl-NL" w:bidi="nl-NL"/>
        </w:rPr>
        <w:t xml:space="preserve">Leden van de Raad van Commissarissen </w:t>
      </w:r>
      <w:r w:rsidR="00C517C0">
        <w:rPr>
          <w:rFonts w:ascii="Arial" w:eastAsia="Arial" w:hAnsi="Arial" w:cs="Arial"/>
          <w:lang w:eastAsia="nl-NL" w:bidi="nl-NL"/>
        </w:rPr>
        <w:t>worden benoemd voor ten hoogste</w:t>
      </w:r>
      <w:r w:rsidRPr="008E38D8">
        <w:rPr>
          <w:rFonts w:ascii="Arial" w:eastAsia="Arial" w:hAnsi="Arial" w:cs="Arial"/>
          <w:lang w:eastAsia="nl-NL" w:bidi="nl-NL"/>
        </w:rPr>
        <w:t xml:space="preserve"> vier jaar. </w:t>
      </w:r>
      <w:r w:rsidR="00C57AE0">
        <w:rPr>
          <w:rFonts w:ascii="Arial" w:eastAsia="Arial" w:hAnsi="Arial" w:cs="Arial"/>
          <w:lang w:eastAsia="nl-NL" w:bidi="nl-NL"/>
        </w:rPr>
        <w:t xml:space="preserve">Herbenoeming is mogelijk. </w:t>
      </w:r>
      <w:r w:rsidR="00C517C0" w:rsidRPr="00C517C0">
        <w:rPr>
          <w:rFonts w:ascii="Arial" w:eastAsia="Arial" w:hAnsi="Arial" w:cs="Arial"/>
          <w:lang w:eastAsia="nl-NL" w:bidi="nl-NL"/>
        </w:rPr>
        <w:t>De totale periode waarin een commissaris lid is van de RvC is ten hoogste acht jaar.</w:t>
      </w:r>
    </w:p>
    <w:tbl>
      <w:tblPr>
        <w:tblpPr w:leftFromText="141" w:rightFromText="141" w:vertAnchor="page" w:horzAnchor="margin" w:tblpY="2731"/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1119"/>
        <w:gridCol w:w="1119"/>
        <w:gridCol w:w="1116"/>
        <w:gridCol w:w="1100"/>
        <w:gridCol w:w="1134"/>
      </w:tblGrid>
      <w:tr w:rsidR="00C57AE0" w:rsidRPr="008E38D8" w14:paraId="47AFC79C" w14:textId="77777777" w:rsidTr="00C57AE0">
        <w:trPr>
          <w:trHeight w:val="261"/>
        </w:trPr>
        <w:tc>
          <w:tcPr>
            <w:tcW w:w="3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C3AD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  <w:t>Naam</w:t>
            </w:r>
          </w:p>
        </w:tc>
        <w:tc>
          <w:tcPr>
            <w:tcW w:w="111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AEC6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  <w:t>2022</w:t>
            </w:r>
          </w:p>
        </w:tc>
        <w:tc>
          <w:tcPr>
            <w:tcW w:w="111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9D1F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  <w:t>2023</w:t>
            </w:r>
          </w:p>
        </w:tc>
        <w:tc>
          <w:tcPr>
            <w:tcW w:w="11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9B22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  <w:t>2024</w:t>
            </w:r>
          </w:p>
        </w:tc>
        <w:tc>
          <w:tcPr>
            <w:tcW w:w="11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7D31"/>
          </w:tcPr>
          <w:p w14:paraId="39223E45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7D31"/>
          </w:tcPr>
          <w:p w14:paraId="71BBAB83" w14:textId="77777777" w:rsidR="00C57AE0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Cs w:val="20"/>
                <w:lang w:val="en-US"/>
              </w:rPr>
              <w:t>2026</w:t>
            </w:r>
          </w:p>
        </w:tc>
      </w:tr>
      <w:tr w:rsidR="00C57AE0" w:rsidRPr="008E38D8" w14:paraId="643A4B9B" w14:textId="77777777" w:rsidTr="00C57AE0">
        <w:trPr>
          <w:trHeight w:val="480"/>
        </w:trPr>
        <w:tc>
          <w:tcPr>
            <w:tcW w:w="31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91CD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 xml:space="preserve">De heer </w:t>
            </w:r>
            <w:r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S.J. Cépèro</w:t>
            </w:r>
          </w:p>
          <w:p w14:paraId="61AB2F0D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</w:p>
          <w:p w14:paraId="7F38EDCB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 xml:space="preserve">benoemd </w:t>
            </w:r>
            <w:r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1</w:t>
            </w: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 xml:space="preserve"> ju</w:t>
            </w:r>
            <w:r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l</w:t>
            </w: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i 20</w:t>
            </w:r>
            <w:r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21</w:t>
            </w:r>
          </w:p>
          <w:p w14:paraId="4607906A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FC2A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9FF0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9B60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</w:tcPr>
          <w:p w14:paraId="28F6558B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333333"/>
                <w:szCs w:val="20"/>
                <w:lang w:val="en-US"/>
              </w:rPr>
              <w:t xml:space="preserve"> 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</w:tcPr>
          <w:p w14:paraId="0D3C7AA9" w14:textId="77777777" w:rsidR="00C57AE0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</w:tr>
      <w:tr w:rsidR="00C57AE0" w:rsidRPr="008E38D8" w14:paraId="183CC16B" w14:textId="77777777" w:rsidTr="00C57AE0">
        <w:trPr>
          <w:trHeight w:val="800"/>
        </w:trPr>
        <w:tc>
          <w:tcPr>
            <w:tcW w:w="31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6B93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De heer C.G. Maas</w:t>
            </w:r>
          </w:p>
          <w:p w14:paraId="05F2C052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</w:p>
          <w:p w14:paraId="4CC8BC11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her</w:t>
            </w: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benoemd 1 juli 20</w:t>
            </w:r>
            <w:r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AD72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BD03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0AB0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E4D5"/>
          </w:tcPr>
          <w:p w14:paraId="54CFB94F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E4D5"/>
          </w:tcPr>
          <w:p w14:paraId="4004EE74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333333"/>
                <w:szCs w:val="20"/>
                <w:lang w:val="en-US"/>
              </w:rPr>
              <w:t xml:space="preserve"> </w:t>
            </w:r>
            <w:r w:rsidRPr="00ED08C4">
              <w:rPr>
                <w:rFonts w:ascii="Arial" w:eastAsia="Calibri" w:hAnsi="Arial" w:cs="Arial"/>
                <w:color w:val="333333"/>
                <w:szCs w:val="20"/>
                <w:lang w:val="en-US"/>
              </w:rPr>
              <w:t>X</w:t>
            </w:r>
          </w:p>
        </w:tc>
      </w:tr>
      <w:tr w:rsidR="00C57AE0" w:rsidRPr="008E38D8" w14:paraId="6BB6DE86" w14:textId="77777777" w:rsidTr="00C57AE0">
        <w:trPr>
          <w:trHeight w:val="491"/>
        </w:trPr>
        <w:tc>
          <w:tcPr>
            <w:tcW w:w="31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E136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De heer J.W. van der Marel</w:t>
            </w:r>
          </w:p>
          <w:p w14:paraId="1AD0CF6D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br/>
            </w:r>
            <w:proofErr w:type="spellStart"/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>herbenoemd</w:t>
            </w:r>
            <w:proofErr w:type="spellEnd"/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 xml:space="preserve"> 1 </w:t>
            </w:r>
            <w:proofErr w:type="spellStart"/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>juni</w:t>
            </w:r>
            <w:proofErr w:type="spellEnd"/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 xml:space="preserve"> 2020</w:t>
            </w:r>
          </w:p>
          <w:p w14:paraId="57B25759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C77F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  <w:r w:rsidRPr="008E38D8">
              <w:rPr>
                <w:rFonts w:ascii="Arial" w:eastAsia="Calibri" w:hAnsi="Arial" w:cs="Arial"/>
                <w:color w:val="333333"/>
                <w:szCs w:val="20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4EFE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  <w:r w:rsidRPr="008E38D8">
              <w:rPr>
                <w:rFonts w:ascii="Arial" w:eastAsia="Calibri" w:hAnsi="Arial" w:cs="Arial"/>
                <w:color w:val="333333"/>
                <w:szCs w:val="20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49DA" w14:textId="77777777" w:rsidR="00C57AE0" w:rsidRPr="008E38D8" w:rsidRDefault="00C57AE0" w:rsidP="00C57AE0">
            <w:pPr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  <w:r w:rsidRPr="008E38D8">
              <w:rPr>
                <w:rFonts w:ascii="Arial" w:eastAsia="Calibri" w:hAnsi="Arial" w:cs="Arial"/>
                <w:color w:val="333333"/>
                <w:szCs w:val="20"/>
                <w:lang w:val="en-US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</w:tcPr>
          <w:p w14:paraId="2F981965" w14:textId="77777777" w:rsidR="00C57AE0" w:rsidRPr="008E38D8" w:rsidRDefault="00C57AE0" w:rsidP="00C57AE0">
            <w:pPr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</w:tcPr>
          <w:p w14:paraId="7913126D" w14:textId="77777777" w:rsidR="00C57AE0" w:rsidRPr="008E38D8" w:rsidRDefault="00C57AE0" w:rsidP="00C57AE0">
            <w:pPr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333333"/>
                <w:szCs w:val="20"/>
                <w:lang w:val="en-US"/>
              </w:rPr>
              <w:t xml:space="preserve"> </w:t>
            </w:r>
          </w:p>
        </w:tc>
      </w:tr>
      <w:tr w:rsidR="00C57AE0" w:rsidRPr="008E38D8" w14:paraId="53784290" w14:textId="77777777" w:rsidTr="00C57AE0">
        <w:trPr>
          <w:trHeight w:val="491"/>
        </w:trPr>
        <w:tc>
          <w:tcPr>
            <w:tcW w:w="31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AF7E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De heer H.W. Moerdijk</w:t>
            </w:r>
          </w:p>
          <w:p w14:paraId="13F05582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</w:p>
          <w:p w14:paraId="060D22D0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her</w:t>
            </w: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benoemd 1 juli 20</w:t>
            </w:r>
            <w:r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  <w:t>21</w:t>
            </w:r>
          </w:p>
          <w:p w14:paraId="40FD3D16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3F52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0DD2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13BF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E4D5"/>
          </w:tcPr>
          <w:p w14:paraId="0D3053CB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333333"/>
                <w:szCs w:val="20"/>
                <w:lang w:val="en-US"/>
              </w:rPr>
              <w:t xml:space="preserve">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E4D5"/>
          </w:tcPr>
          <w:p w14:paraId="120B3837" w14:textId="77777777" w:rsidR="00C57AE0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</w:tr>
      <w:tr w:rsidR="00C57AE0" w:rsidRPr="008E38D8" w14:paraId="45412F11" w14:textId="77777777" w:rsidTr="00C57AE0">
        <w:trPr>
          <w:trHeight w:val="548"/>
        </w:trPr>
        <w:tc>
          <w:tcPr>
            <w:tcW w:w="319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6B13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</w:pP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>Mevrouw F. Padmos</w:t>
            </w:r>
          </w:p>
          <w:p w14:paraId="237E8CCC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</w:pPr>
          </w:p>
          <w:p w14:paraId="48EC403B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>her</w:t>
            </w:r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>benoemd</w:t>
            </w:r>
            <w:proofErr w:type="spellEnd"/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 xml:space="preserve"> 1 </w:t>
            </w:r>
            <w:proofErr w:type="spellStart"/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>juli</w:t>
            </w:r>
            <w:proofErr w:type="spellEnd"/>
            <w:r w:rsidRPr="008E38D8"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 xml:space="preserve"> 20</w:t>
            </w:r>
            <w:r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F445" w14:textId="77777777" w:rsidR="00C57AE0" w:rsidRPr="008E38D8" w:rsidRDefault="00C57AE0" w:rsidP="00C57AE0">
            <w:pPr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D6EE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3676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7CAAC"/>
          </w:tcPr>
          <w:p w14:paraId="4F572A14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333333"/>
                <w:szCs w:val="20"/>
                <w:lang w:val="en-US"/>
              </w:rPr>
              <w:t xml:space="preserve">  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7CAAC"/>
          </w:tcPr>
          <w:p w14:paraId="5DF6199B" w14:textId="77777777" w:rsidR="00C57AE0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</w:tr>
      <w:tr w:rsidR="00C57AE0" w:rsidRPr="008E38D8" w14:paraId="76D1A472" w14:textId="77777777" w:rsidTr="00C57AE0">
        <w:trPr>
          <w:trHeight w:val="80"/>
        </w:trPr>
        <w:tc>
          <w:tcPr>
            <w:tcW w:w="31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7E42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b/>
                <w:bCs/>
                <w:color w:val="333333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9712" w14:textId="77777777" w:rsidR="00C57AE0" w:rsidRPr="008E38D8" w:rsidRDefault="00C57AE0" w:rsidP="00C57AE0">
            <w:pPr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795C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A6DF" w14:textId="77777777" w:rsidR="00C57AE0" w:rsidRPr="008E38D8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</w:tcPr>
          <w:p w14:paraId="4A499ACB" w14:textId="77777777" w:rsidR="00C57AE0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</w:tcPr>
          <w:p w14:paraId="04C4392A" w14:textId="77777777" w:rsidR="00C57AE0" w:rsidRDefault="00C57AE0" w:rsidP="00C57AE0">
            <w:pPr>
              <w:autoSpaceDN w:val="0"/>
              <w:rPr>
                <w:rFonts w:ascii="Arial" w:eastAsia="Calibri" w:hAnsi="Arial" w:cs="Arial"/>
                <w:color w:val="333333"/>
                <w:szCs w:val="20"/>
                <w:lang w:val="en-US"/>
              </w:rPr>
            </w:pPr>
          </w:p>
        </w:tc>
      </w:tr>
    </w:tbl>
    <w:p w14:paraId="02050206" w14:textId="3073DD3A" w:rsidR="008E38D8" w:rsidRPr="00C57AE0" w:rsidRDefault="008E38D8" w:rsidP="00C57AE0">
      <w:pPr>
        <w:widowControl w:val="0"/>
        <w:autoSpaceDE w:val="0"/>
        <w:autoSpaceDN w:val="0"/>
        <w:rPr>
          <w:rFonts w:ascii="Arial" w:eastAsia="Arial" w:hAnsi="Arial" w:cs="Arial"/>
          <w:lang w:eastAsia="nl-NL" w:bidi="nl-NL"/>
        </w:rPr>
      </w:pPr>
      <w:r w:rsidRPr="008E38D8">
        <w:rPr>
          <w:rFonts w:ascii="Arial" w:eastAsia="Arial" w:hAnsi="Arial" w:cs="Arial"/>
          <w:iCs/>
          <w:szCs w:val="24"/>
          <w:lang w:eastAsia="nl-NL" w:bidi="nl-NL"/>
        </w:rPr>
        <w:t>X        = aftredend</w:t>
      </w:r>
      <w:r w:rsidRPr="008E38D8">
        <w:rPr>
          <w:rFonts w:ascii="Arial" w:eastAsia="Arial" w:hAnsi="Arial" w:cs="Arial"/>
          <w:iCs/>
          <w:szCs w:val="24"/>
          <w:lang w:eastAsia="nl-NL" w:bidi="nl-NL"/>
        </w:rPr>
        <w:tab/>
      </w:r>
      <w:r w:rsidRPr="008E38D8">
        <w:rPr>
          <w:rFonts w:ascii="Arial" w:eastAsia="Arial" w:hAnsi="Arial" w:cs="Arial"/>
          <w:iCs/>
          <w:szCs w:val="24"/>
          <w:lang w:eastAsia="nl-NL" w:bidi="nl-NL"/>
        </w:rPr>
        <w:tab/>
      </w:r>
      <w:r w:rsidRPr="008E38D8">
        <w:rPr>
          <w:rFonts w:ascii="Arial" w:eastAsia="Arial" w:hAnsi="Arial" w:cs="Arial"/>
          <w:iCs/>
          <w:szCs w:val="24"/>
          <w:lang w:eastAsia="nl-NL" w:bidi="nl-NL"/>
        </w:rPr>
        <w:tab/>
      </w:r>
      <w:r w:rsidRPr="008E38D8">
        <w:rPr>
          <w:rFonts w:ascii="Arial" w:eastAsia="Arial" w:hAnsi="Arial" w:cs="Arial"/>
          <w:iCs/>
          <w:szCs w:val="24"/>
          <w:lang w:eastAsia="nl-NL" w:bidi="nl-NL"/>
        </w:rPr>
        <w:tab/>
      </w:r>
      <w:r w:rsidRPr="008E38D8">
        <w:rPr>
          <w:rFonts w:ascii="Arial" w:eastAsia="Arial" w:hAnsi="Arial" w:cs="Arial"/>
          <w:iCs/>
          <w:szCs w:val="24"/>
          <w:lang w:eastAsia="nl-NL" w:bidi="nl-NL"/>
        </w:rPr>
        <w:tab/>
      </w:r>
      <w:r w:rsidRPr="008E38D8">
        <w:rPr>
          <w:rFonts w:ascii="Arial" w:eastAsia="Arial" w:hAnsi="Arial" w:cs="Arial"/>
          <w:iCs/>
          <w:szCs w:val="24"/>
          <w:lang w:eastAsia="nl-NL" w:bidi="nl-NL"/>
        </w:rPr>
        <w:tab/>
      </w:r>
      <w:r w:rsidRPr="008E38D8">
        <w:rPr>
          <w:rFonts w:ascii="Arial" w:eastAsia="Arial" w:hAnsi="Arial" w:cs="Arial"/>
          <w:iCs/>
          <w:szCs w:val="24"/>
          <w:lang w:eastAsia="nl-NL" w:bidi="nl-NL"/>
        </w:rPr>
        <w:tab/>
      </w:r>
    </w:p>
    <w:p w14:paraId="26FD72D8" w14:textId="152B54EF" w:rsidR="008E38D8" w:rsidRPr="008E38D8" w:rsidRDefault="008E38D8" w:rsidP="008E38D8">
      <w:pPr>
        <w:widowControl w:val="0"/>
        <w:autoSpaceDE w:val="0"/>
        <w:autoSpaceDN w:val="0"/>
        <w:rPr>
          <w:rFonts w:ascii="Arial" w:eastAsia="Arial" w:hAnsi="Arial" w:cs="Arial"/>
          <w:lang w:eastAsia="nl-NL" w:bidi="nl-NL"/>
        </w:rPr>
      </w:pPr>
      <w:r w:rsidRPr="008E38D8">
        <w:rPr>
          <w:rFonts w:ascii="Arial" w:eastAsia="Arial" w:hAnsi="Arial" w:cs="Arial"/>
          <w:iCs/>
          <w:szCs w:val="24"/>
          <w:lang w:eastAsia="nl-NL" w:bidi="nl-NL"/>
        </w:rPr>
        <w:t>XX     = herbenoembaar</w:t>
      </w:r>
      <w:r w:rsidRPr="008E38D8">
        <w:rPr>
          <w:rFonts w:ascii="Arial" w:eastAsia="Arial" w:hAnsi="Arial" w:cs="Arial"/>
          <w:iCs/>
          <w:color w:val="1A5C6A"/>
          <w:szCs w:val="24"/>
          <w:lang w:eastAsia="nl-NL" w:bidi="nl-NL"/>
        </w:rPr>
        <w:tab/>
      </w:r>
    </w:p>
    <w:sectPr w:rsidR="008E38D8" w:rsidRPr="008E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D8"/>
    <w:rsid w:val="001000C6"/>
    <w:rsid w:val="006D49AE"/>
    <w:rsid w:val="008E38D8"/>
    <w:rsid w:val="00C517C0"/>
    <w:rsid w:val="00C57AE0"/>
    <w:rsid w:val="00E7658F"/>
    <w:rsid w:val="00ED08C4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0021"/>
  <w15:chartTrackingRefBased/>
  <w15:docId w15:val="{0E4201BB-8A8E-4BAC-A974-345D9220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00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van Kuppenveld</dc:creator>
  <cp:keywords/>
  <dc:description/>
  <cp:lastModifiedBy>Renate Hendrickx</cp:lastModifiedBy>
  <cp:revision>2</cp:revision>
  <dcterms:created xsi:type="dcterms:W3CDTF">2022-09-01T12:21:00Z</dcterms:created>
  <dcterms:modified xsi:type="dcterms:W3CDTF">2022-09-01T12:21:00Z</dcterms:modified>
</cp:coreProperties>
</file>